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37" w:rsidRPr="00404DBE" w:rsidRDefault="000F4137" w:rsidP="009777B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04DBE">
        <w:rPr>
          <w:rFonts w:ascii="Arial" w:hAnsi="Arial" w:cs="Arial"/>
          <w:b/>
          <w:sz w:val="28"/>
          <w:szCs w:val="28"/>
        </w:rPr>
        <w:t xml:space="preserve"> LEI </w:t>
      </w:r>
      <w:r w:rsidR="009777B4">
        <w:rPr>
          <w:rFonts w:ascii="Arial" w:hAnsi="Arial" w:cs="Arial"/>
          <w:b/>
          <w:sz w:val="28"/>
          <w:szCs w:val="28"/>
        </w:rPr>
        <w:t xml:space="preserve">COMPLEMENTAR </w:t>
      </w:r>
      <w:r w:rsidRPr="00404DBE">
        <w:rPr>
          <w:rFonts w:ascii="Arial" w:hAnsi="Arial" w:cs="Arial"/>
          <w:b/>
          <w:sz w:val="28"/>
          <w:szCs w:val="28"/>
        </w:rPr>
        <w:t xml:space="preserve">N° </w:t>
      </w:r>
      <w:r w:rsidR="00A01C4D">
        <w:rPr>
          <w:rFonts w:ascii="Arial" w:hAnsi="Arial" w:cs="Arial"/>
          <w:b/>
          <w:sz w:val="28"/>
          <w:szCs w:val="28"/>
        </w:rPr>
        <w:t>10</w:t>
      </w:r>
      <w:r w:rsidRPr="00404DBE">
        <w:rPr>
          <w:rFonts w:ascii="Arial" w:hAnsi="Arial" w:cs="Arial"/>
          <w:b/>
          <w:sz w:val="28"/>
          <w:szCs w:val="28"/>
        </w:rPr>
        <w:t xml:space="preserve">, DE </w:t>
      </w:r>
      <w:r w:rsidR="009B24FB">
        <w:rPr>
          <w:rFonts w:ascii="Arial" w:hAnsi="Arial" w:cs="Arial"/>
          <w:b/>
          <w:sz w:val="28"/>
          <w:szCs w:val="28"/>
        </w:rPr>
        <w:t>16</w:t>
      </w:r>
      <w:r w:rsidRPr="00404DBE">
        <w:rPr>
          <w:rFonts w:ascii="Arial" w:hAnsi="Arial" w:cs="Arial"/>
          <w:b/>
          <w:sz w:val="28"/>
          <w:szCs w:val="28"/>
        </w:rPr>
        <w:t xml:space="preserve"> DE </w:t>
      </w:r>
      <w:r w:rsidR="009B24FB">
        <w:rPr>
          <w:rFonts w:ascii="Arial" w:hAnsi="Arial" w:cs="Arial"/>
          <w:b/>
          <w:sz w:val="28"/>
          <w:szCs w:val="28"/>
        </w:rPr>
        <w:t>NOVEMBRO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04DBE">
        <w:rPr>
          <w:rFonts w:ascii="Arial" w:hAnsi="Arial" w:cs="Arial"/>
          <w:b/>
          <w:sz w:val="28"/>
          <w:szCs w:val="28"/>
        </w:rPr>
        <w:t>DE 201</w:t>
      </w:r>
      <w:r>
        <w:rPr>
          <w:rFonts w:ascii="Arial" w:hAnsi="Arial" w:cs="Arial"/>
          <w:b/>
          <w:sz w:val="28"/>
          <w:szCs w:val="28"/>
        </w:rPr>
        <w:t>6</w:t>
      </w:r>
      <w:r w:rsidRPr="00404DBE">
        <w:rPr>
          <w:rFonts w:ascii="Arial" w:hAnsi="Arial" w:cs="Arial"/>
          <w:b/>
          <w:sz w:val="28"/>
          <w:szCs w:val="28"/>
        </w:rPr>
        <w:t>.</w:t>
      </w:r>
    </w:p>
    <w:p w:rsidR="008E7AA5" w:rsidRPr="009A25F6" w:rsidRDefault="008E7AA5" w:rsidP="008E7AA5">
      <w:pPr>
        <w:widowControl w:val="0"/>
        <w:ind w:left="3544"/>
        <w:jc w:val="both"/>
        <w:rPr>
          <w:rFonts w:eastAsia="MS Mincho" w:cstheme="minorHAnsi"/>
          <w:b/>
          <w:i/>
          <w:snapToGrid w:val="0"/>
          <w:sz w:val="24"/>
          <w:szCs w:val="24"/>
        </w:rPr>
      </w:pPr>
      <w:r w:rsidRPr="009A25F6">
        <w:rPr>
          <w:rFonts w:eastAsia="MS Mincho" w:cstheme="minorHAnsi"/>
          <w:b/>
          <w:i/>
          <w:snapToGrid w:val="0"/>
          <w:sz w:val="24"/>
          <w:szCs w:val="24"/>
        </w:rPr>
        <w:t xml:space="preserve">Dispõe sobre </w:t>
      </w:r>
      <w:r>
        <w:rPr>
          <w:rFonts w:eastAsia="MS Mincho" w:cstheme="minorHAnsi"/>
          <w:b/>
          <w:i/>
          <w:snapToGrid w:val="0"/>
          <w:sz w:val="24"/>
          <w:szCs w:val="24"/>
        </w:rPr>
        <w:t xml:space="preserve">a regulamentação da concessão a aposentadoria da pessoa com deficiência segurada do </w:t>
      </w:r>
      <w:r w:rsidRPr="009A25F6">
        <w:rPr>
          <w:rFonts w:eastAsia="MS Mincho" w:cstheme="minorHAnsi"/>
          <w:b/>
          <w:i/>
          <w:snapToGrid w:val="0"/>
          <w:sz w:val="24"/>
          <w:szCs w:val="24"/>
        </w:rPr>
        <w:t xml:space="preserve">Regime Próprio de Previdência dos </w:t>
      </w:r>
      <w:r>
        <w:rPr>
          <w:rFonts w:eastAsia="MS Mincho" w:cstheme="minorHAnsi"/>
          <w:b/>
          <w:i/>
          <w:snapToGrid w:val="0"/>
          <w:sz w:val="24"/>
          <w:szCs w:val="24"/>
        </w:rPr>
        <w:t>Servidores P</w:t>
      </w:r>
      <w:r w:rsidRPr="009A25F6">
        <w:rPr>
          <w:rFonts w:eastAsia="MS Mincho" w:cstheme="minorHAnsi"/>
          <w:b/>
          <w:i/>
          <w:snapToGrid w:val="0"/>
          <w:sz w:val="24"/>
          <w:szCs w:val="24"/>
        </w:rPr>
        <w:t>úblicos do Município de Fortaleza de Minas</w:t>
      </w:r>
      <w:r>
        <w:rPr>
          <w:rFonts w:eastAsia="MS Mincho" w:cstheme="minorHAnsi"/>
          <w:b/>
          <w:i/>
          <w:snapToGrid w:val="0"/>
          <w:sz w:val="24"/>
          <w:szCs w:val="24"/>
        </w:rPr>
        <w:t xml:space="preserve"> reestruturado pela</w:t>
      </w:r>
      <w:r w:rsidRPr="009A25F6">
        <w:rPr>
          <w:rFonts w:eastAsia="MS Mincho" w:cstheme="minorHAnsi"/>
          <w:b/>
          <w:i/>
          <w:snapToGrid w:val="0"/>
          <w:sz w:val="24"/>
          <w:szCs w:val="24"/>
        </w:rPr>
        <w:t xml:space="preserve"> Lei nº</w:t>
      </w:r>
      <w:r>
        <w:rPr>
          <w:rFonts w:eastAsia="MS Mincho" w:cstheme="minorHAnsi"/>
          <w:b/>
          <w:i/>
          <w:snapToGrid w:val="0"/>
          <w:sz w:val="24"/>
          <w:szCs w:val="24"/>
        </w:rPr>
        <w:t xml:space="preserve"> </w:t>
      </w:r>
      <w:r w:rsidRPr="009A25F6">
        <w:rPr>
          <w:rFonts w:eastAsia="MS Mincho" w:cstheme="minorHAnsi"/>
          <w:b/>
          <w:i/>
          <w:snapToGrid w:val="0"/>
          <w:sz w:val="24"/>
          <w:szCs w:val="24"/>
        </w:rPr>
        <w:t>802/2006 e dá outras providências correlatas.</w:t>
      </w:r>
    </w:p>
    <w:p w:rsidR="000F4137" w:rsidRDefault="000F4137" w:rsidP="008E7AA5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0"/>
          <w:szCs w:val="20"/>
        </w:rPr>
      </w:pPr>
    </w:p>
    <w:p w:rsidR="000F4137" w:rsidRPr="000F4137" w:rsidRDefault="000F4137" w:rsidP="008E7AA5">
      <w:pPr>
        <w:pStyle w:val="Corpodetexto"/>
        <w:spacing w:after="0" w:line="276" w:lineRule="auto"/>
        <w:rPr>
          <w:rFonts w:cs="Arial"/>
          <w:sz w:val="24"/>
          <w:szCs w:val="24"/>
        </w:rPr>
      </w:pPr>
      <w:r w:rsidRPr="000F4137">
        <w:rPr>
          <w:rFonts w:cs="Arial"/>
          <w:b/>
          <w:sz w:val="24"/>
          <w:szCs w:val="24"/>
        </w:rPr>
        <w:t>NELI LEÃO DO PRADO</w:t>
      </w:r>
      <w:r w:rsidRPr="000F4137">
        <w:rPr>
          <w:rFonts w:cs="Arial"/>
          <w:sz w:val="24"/>
          <w:szCs w:val="24"/>
        </w:rPr>
        <w:t>, Prefeita do Município de Fortaleza de Minas, Minas Gerais, no uso das atribuições que lhe são conferidas pela Lei Orgânica Municipal, em seus artigos 69, inciso III e 120, propõe a seguinte Lei: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7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1º</w:t>
        </w:r>
      </w:hyperlink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Esta Lei Complementar regulamenta a concessão de aposentadoria da pessoa com deficiência segurada do Regime Próprio de Previdência Social 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Servidores do Município de Fortaleza de Minas, reestruturado pela Lei Municipal </w:t>
      </w:r>
      <w:r w:rsidRPr="008E7AA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º 802 DE 11 DE JANEIRO DE 2006,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de que trata o § 1º do art. 201 da Constituição Federal.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8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2º</w:t>
        </w:r>
      </w:hyperlink>
      <w:r w:rsidRPr="008E7A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>- Para o reconhecimento do direito à aposentadoria de que trata esta Lei Complementar, considera-se pessoa com deficiência o servidor público efetivo devidamente inscrito como segurado do IMPRESFORT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>que tem impedimentos de longo prazo de natureza física, mental, intelectual ou sensorial, os quais, em interação com diversas barreiras, podem obstruir sua participação plena e efetiva na sociedade em igualdade de condições com as demais pessoas.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9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3º</w:t>
        </w:r>
      </w:hyperlink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É assegurada a concessão de aposentadoria pelo IMPRESFORT ao segurado com deficiência, observadas as seguintes condições: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I - aos 25 (vinte e cinco) anos de tempo de contribuição, se homem, e 20 (vinte) anos, se mulher, no caso de segurado com deficiência grave;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II - aos 29 (vinte e nove) anos de tempo de contribuição, se homem, e 24 (vinte e quatro) anos, se mulher, no caso de segurado com deficiência moderada;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III - aos 33 (trinta e três) anos de tempo de contribuição, se homem, e 28 (vinte e oito) anos, se mulher, no caso de segurado com deficiência leve; ou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IV - aos 60 (sessenta) anos</w:t>
      </w:r>
      <w:r w:rsidR="00A01C4D">
        <w:rPr>
          <w:rFonts w:ascii="Arial" w:eastAsia="Times New Roman" w:hAnsi="Arial" w:cs="Arial"/>
          <w:sz w:val="24"/>
          <w:szCs w:val="24"/>
          <w:lang w:eastAsia="pt-BR"/>
        </w:rPr>
        <w:t xml:space="preserve"> de idade, se homem, e 55 (cinqu</w:t>
      </w:r>
      <w:bookmarkStart w:id="0" w:name="_GoBack"/>
      <w:bookmarkEnd w:id="0"/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enta e cinco) anos de idade, se mulher, independentemente do grau de deficiência, desde que 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cumprido tempo mínimo de contribuição de 15 (quinze) anos e comprovada a existência de deficiência durante igual período.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E7AA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>o IMPRESFORT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obe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>decerá às regras do Regime Geral de Previdência Social, para definição das deficiências grave, moderada e leve para os fins desta Lei Complementar.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10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4º</w:t>
        </w:r>
      </w:hyperlink>
      <w:r w:rsidRPr="008E7A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- A avaliação da deficiência será médica e funcional. 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11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5º</w:t>
        </w:r>
      </w:hyperlink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O grau de deficiência será atestado por perícia própria do IMPRESFORT.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12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6º</w:t>
        </w:r>
      </w:hyperlink>
      <w:r w:rsidRPr="008E7A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>- A contagem de tempo de contribuição na condição de segurado com deficiência será objeto de comprovação, exclusivamente, na forma desta Lei Complementar.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§ 1º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A existência de deficiência anterior à data da vigência desta Lei Complementar deverá ser certificada, inclusive quanto ao seu grau, por ocasião da primeira avaliação, sendo obrigatória a fixação da data provável do início da deficiência.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§ 2º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A comprovação de tempo de contribuição na condição de segurado com deficiência em período anterior à entrada em vigor desta Lei Complementar não será admitida por meio de prova exclusivamente testemunhal.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§ 3° - A contagem de tempo de contribuição na condição de segurado com deficiência será efetuada na forma da legislação federal que rege esta espécie de aposentadoria para segurados do RGPS.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13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7º</w:t>
        </w:r>
      </w:hyperlink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Se o segurado, após a filiação ao IMPRESFORT, tornar-se pessoa com deficiência, ou tiver seu grau de deficiência alterado, os parâmetros mencionados no art. 3º serão proporcionalmente ajustados, considerando-se o número de anos em que o segurado exerceu atividade laboral sem deficiência e com deficiência, observado o grau de deficiência correspondente, nos termos do regulamento a que se refere o parágrafo único do art. 3º desta Lei Complementar.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14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8º</w:t>
        </w:r>
      </w:hyperlink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A renda mensal da aposentadoria devida ao segurado com deficiência será calculada na forma prevista na Lei Municipal 802/2006. 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15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9º</w:t>
        </w:r>
      </w:hyperlink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Aplicam-se à pessoa com deficiência de que trata esta Lei Complementar: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 - o fator previdenciário nas aposentadorias, se resultar em renda mensal de valor mais elevado;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II - a contagem recíproca do tempo de contribuição na condição de segurado com deficiência relativo à filiação ao RGPS, ao regime próprio de previdência do servidor público ou a regime de previdência militar, devendo os regimes compensar-se financeiramente;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III - as regras de pagamento e de recolhimento das contribuições previdenciárias contidas na Lei 802/2006;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IV - as demais normas relativas aos benefícios do IMPRESFORT;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7AA5">
        <w:rPr>
          <w:rFonts w:ascii="Arial" w:eastAsia="Times New Roman" w:hAnsi="Arial" w:cs="Arial"/>
          <w:sz w:val="24"/>
          <w:szCs w:val="24"/>
          <w:lang w:eastAsia="pt-BR"/>
        </w:rPr>
        <w:t>V - a percepção de qualquer outra espécie de aposentadoria estabelecida na Lei 8.213, de 24 de julho de 1991, que lhe seja mais vantajosa do que as opções apresentadas nesta Lei Complementar.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16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10</w:t>
        </w:r>
      </w:hyperlink>
      <w:r>
        <w:rPr>
          <w:rFonts w:ascii="Arial" w:hAnsi="Arial" w:cs="Arial"/>
          <w:b/>
          <w:sz w:val="24"/>
          <w:szCs w:val="24"/>
        </w:rPr>
        <w:t>°</w:t>
      </w:r>
      <w:r w:rsidRPr="008E7A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>- A redução do tempo de contribuição prevista nesta Lei Complementar não poderá ser acumulada, no tocante ao mesmo período contributivo, com a redução assegurada aos casos de atividades exercidas sob condições especiais que prejudiquem a saúde ou a integridade física.</w:t>
      </w:r>
    </w:p>
    <w:p w:rsidR="008E7AA5" w:rsidRPr="008E7AA5" w:rsidRDefault="008E7AA5" w:rsidP="008E7AA5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hyperlink r:id="rId17" w:anchor="artigos" w:history="1">
        <w:r w:rsidRPr="008E7AA5">
          <w:rPr>
            <w:rFonts w:ascii="Arial" w:eastAsia="Times New Roman" w:hAnsi="Arial" w:cs="Arial"/>
            <w:b/>
            <w:sz w:val="24"/>
            <w:szCs w:val="24"/>
            <w:lang w:eastAsia="pt-BR"/>
          </w:rPr>
          <w:t>Art. 11</w:t>
        </w:r>
      </w:hyperlink>
      <w:r>
        <w:rPr>
          <w:rFonts w:ascii="Arial" w:hAnsi="Arial" w:cs="Arial"/>
          <w:b/>
          <w:sz w:val="24"/>
          <w:szCs w:val="24"/>
        </w:rPr>
        <w:t>°</w:t>
      </w:r>
      <w:r w:rsidRPr="008E7AA5">
        <w:rPr>
          <w:rFonts w:ascii="Arial" w:eastAsia="Times New Roman" w:hAnsi="Arial" w:cs="Arial"/>
          <w:sz w:val="24"/>
          <w:szCs w:val="24"/>
          <w:lang w:eastAsia="pt-BR"/>
        </w:rPr>
        <w:t xml:space="preserve"> - Esta Lei Complementar entra em vigor na data de sua publicação. </w:t>
      </w:r>
    </w:p>
    <w:p w:rsidR="000F4137" w:rsidRPr="000F4137" w:rsidRDefault="000F4137" w:rsidP="008E7AA5">
      <w:pPr>
        <w:jc w:val="both"/>
        <w:rPr>
          <w:rFonts w:ascii="Arial" w:hAnsi="Arial" w:cs="Arial"/>
          <w:b/>
          <w:sz w:val="24"/>
          <w:szCs w:val="24"/>
        </w:rPr>
      </w:pPr>
    </w:p>
    <w:p w:rsidR="000F4137" w:rsidRDefault="000F4137" w:rsidP="008E7AA5">
      <w:pPr>
        <w:jc w:val="both"/>
        <w:rPr>
          <w:rFonts w:ascii="Arial" w:hAnsi="Arial" w:cs="Arial"/>
          <w:sz w:val="24"/>
          <w:szCs w:val="24"/>
        </w:rPr>
      </w:pPr>
      <w:r w:rsidRPr="000F4137">
        <w:rPr>
          <w:rFonts w:ascii="Arial" w:hAnsi="Arial" w:cs="Arial"/>
          <w:sz w:val="24"/>
          <w:szCs w:val="24"/>
        </w:rPr>
        <w:tab/>
        <w:t xml:space="preserve">Fortaleza de Minas (MG) </w:t>
      </w:r>
      <w:r w:rsidR="009B24FB">
        <w:rPr>
          <w:rFonts w:ascii="Arial" w:hAnsi="Arial" w:cs="Arial"/>
          <w:sz w:val="24"/>
          <w:szCs w:val="24"/>
        </w:rPr>
        <w:t>16</w:t>
      </w:r>
      <w:r w:rsidR="008E7AA5">
        <w:rPr>
          <w:rFonts w:ascii="Arial" w:hAnsi="Arial" w:cs="Arial"/>
          <w:sz w:val="24"/>
          <w:szCs w:val="24"/>
        </w:rPr>
        <w:t xml:space="preserve"> de </w:t>
      </w:r>
      <w:r w:rsidR="00943053">
        <w:rPr>
          <w:rFonts w:ascii="Arial" w:hAnsi="Arial" w:cs="Arial"/>
          <w:sz w:val="24"/>
          <w:szCs w:val="24"/>
        </w:rPr>
        <w:t>novembro</w:t>
      </w:r>
      <w:r w:rsidR="008E7AA5">
        <w:rPr>
          <w:rFonts w:ascii="Arial" w:hAnsi="Arial" w:cs="Arial"/>
          <w:sz w:val="24"/>
          <w:szCs w:val="24"/>
        </w:rPr>
        <w:t xml:space="preserve"> de 2016</w:t>
      </w:r>
    </w:p>
    <w:p w:rsidR="008813BA" w:rsidRDefault="008813BA" w:rsidP="008E7AA5">
      <w:pPr>
        <w:jc w:val="both"/>
        <w:rPr>
          <w:rFonts w:ascii="Arial" w:hAnsi="Arial" w:cs="Arial"/>
          <w:sz w:val="24"/>
          <w:szCs w:val="24"/>
        </w:rPr>
      </w:pPr>
    </w:p>
    <w:p w:rsidR="00E975F3" w:rsidRDefault="00E975F3" w:rsidP="008E7AA5">
      <w:pPr>
        <w:jc w:val="both"/>
        <w:rPr>
          <w:rFonts w:ascii="Arial" w:hAnsi="Arial" w:cs="Arial"/>
          <w:sz w:val="24"/>
          <w:szCs w:val="24"/>
        </w:rPr>
      </w:pPr>
    </w:p>
    <w:p w:rsidR="008813BA" w:rsidRPr="00E05623" w:rsidRDefault="008813BA" w:rsidP="00E975F3">
      <w:pPr>
        <w:spacing w:line="360" w:lineRule="auto"/>
        <w:jc w:val="center"/>
        <w:rPr>
          <w:rFonts w:ascii="Cambria" w:eastAsia="Arial Unicode MS" w:hAnsi="Cambria"/>
          <w:b/>
        </w:rPr>
      </w:pPr>
      <w:r w:rsidRPr="00E05623">
        <w:rPr>
          <w:rFonts w:ascii="Cambria" w:eastAsia="Arial Unicode MS" w:hAnsi="Cambria"/>
          <w:b/>
        </w:rPr>
        <w:t>JURUBEL HONORATO REIS</w:t>
      </w:r>
      <w:r w:rsidRPr="00F2289F">
        <w:rPr>
          <w:rFonts w:ascii="Cambria" w:eastAsia="Arial Unicode MS" w:hAnsi="Cambria"/>
          <w:b/>
        </w:rPr>
        <w:t xml:space="preserve"> </w:t>
      </w:r>
      <w:r>
        <w:rPr>
          <w:rFonts w:ascii="Cambria" w:eastAsia="Arial Unicode MS" w:hAnsi="Cambria"/>
          <w:b/>
        </w:rPr>
        <w:t xml:space="preserve">                         </w:t>
      </w:r>
      <w:r w:rsidRPr="00E05623">
        <w:rPr>
          <w:rFonts w:ascii="Cambria" w:eastAsia="Arial Unicode MS" w:hAnsi="Cambria"/>
          <w:b/>
        </w:rPr>
        <w:t>ADENILSON QUEIROZ</w:t>
      </w:r>
    </w:p>
    <w:p w:rsidR="008813BA" w:rsidRDefault="008813BA" w:rsidP="00E975F3">
      <w:pPr>
        <w:spacing w:line="360" w:lineRule="auto"/>
        <w:jc w:val="center"/>
        <w:rPr>
          <w:rFonts w:ascii="Cambria" w:eastAsia="Arial Unicode MS" w:hAnsi="Cambria"/>
          <w:b/>
        </w:rPr>
      </w:pPr>
      <w:r w:rsidRPr="00E05623">
        <w:rPr>
          <w:rFonts w:ascii="Cambria" w:eastAsia="Arial Unicode MS" w:hAnsi="Cambria"/>
          <w:b/>
        </w:rPr>
        <w:t>PRESIDENTE</w:t>
      </w:r>
      <w:r>
        <w:rPr>
          <w:rFonts w:ascii="Cambria" w:eastAsia="Arial Unicode MS" w:hAnsi="Cambria"/>
          <w:b/>
        </w:rPr>
        <w:t xml:space="preserve">                                                 </w:t>
      </w:r>
      <w:r w:rsidRPr="00E05623">
        <w:rPr>
          <w:rFonts w:ascii="Cambria" w:eastAsia="Arial Unicode MS" w:hAnsi="Cambria"/>
          <w:b/>
        </w:rPr>
        <w:t>VICE- PRESIDENTE</w:t>
      </w:r>
    </w:p>
    <w:p w:rsidR="008813BA" w:rsidRPr="00E05623" w:rsidRDefault="008813BA" w:rsidP="00E975F3">
      <w:pPr>
        <w:spacing w:line="360" w:lineRule="auto"/>
        <w:jc w:val="center"/>
        <w:rPr>
          <w:rFonts w:ascii="Cambria" w:eastAsia="Arial Unicode MS" w:hAnsi="Cambria"/>
          <w:b/>
        </w:rPr>
      </w:pPr>
    </w:p>
    <w:p w:rsidR="008813BA" w:rsidRPr="00E05623" w:rsidRDefault="008813BA" w:rsidP="00E975F3">
      <w:pPr>
        <w:spacing w:line="360" w:lineRule="auto"/>
        <w:jc w:val="center"/>
        <w:rPr>
          <w:rFonts w:ascii="Cambria" w:eastAsia="Arial Unicode MS" w:hAnsi="Cambria"/>
          <w:b/>
        </w:rPr>
      </w:pPr>
    </w:p>
    <w:p w:rsidR="008813BA" w:rsidRPr="00E05623" w:rsidRDefault="008813BA" w:rsidP="00E975F3">
      <w:pPr>
        <w:spacing w:line="360" w:lineRule="auto"/>
        <w:jc w:val="center"/>
        <w:rPr>
          <w:rFonts w:ascii="Cambria" w:eastAsia="Arial Unicode MS" w:hAnsi="Cambria"/>
          <w:b/>
        </w:rPr>
      </w:pPr>
      <w:r w:rsidRPr="00E05623">
        <w:rPr>
          <w:rFonts w:ascii="Cambria" w:eastAsia="Arial Unicode MS" w:hAnsi="Cambria"/>
          <w:b/>
        </w:rPr>
        <w:t>MARCIO DOMINGUES DE ANDRADE</w:t>
      </w:r>
    </w:p>
    <w:p w:rsidR="008813BA" w:rsidRPr="00E05623" w:rsidRDefault="008813BA" w:rsidP="00E975F3">
      <w:pPr>
        <w:spacing w:line="360" w:lineRule="auto"/>
        <w:jc w:val="center"/>
        <w:rPr>
          <w:rFonts w:ascii="Cambria" w:eastAsia="Arial Unicode MS" w:hAnsi="Cambria"/>
        </w:rPr>
      </w:pPr>
      <w:r w:rsidRPr="00E05623">
        <w:rPr>
          <w:rFonts w:ascii="Cambria" w:eastAsia="Arial Unicode MS" w:hAnsi="Cambria"/>
          <w:b/>
        </w:rPr>
        <w:t>SECRETÁRIO</w:t>
      </w:r>
    </w:p>
    <w:p w:rsidR="008813BA" w:rsidRPr="000F4137" w:rsidRDefault="008813BA" w:rsidP="008E7AA5">
      <w:pPr>
        <w:jc w:val="both"/>
        <w:rPr>
          <w:rFonts w:ascii="Arial" w:hAnsi="Arial" w:cs="Arial"/>
          <w:sz w:val="24"/>
          <w:szCs w:val="24"/>
        </w:rPr>
      </w:pPr>
    </w:p>
    <w:p w:rsidR="000F4137" w:rsidRDefault="000F4137" w:rsidP="008E7AA5">
      <w:pPr>
        <w:jc w:val="center"/>
        <w:rPr>
          <w:rFonts w:ascii="Arial" w:hAnsi="Arial" w:cs="Arial"/>
          <w:b/>
          <w:sz w:val="24"/>
          <w:szCs w:val="24"/>
        </w:rPr>
      </w:pPr>
    </w:p>
    <w:p w:rsidR="008E7AA5" w:rsidRPr="000F4137" w:rsidRDefault="008E7AA5" w:rsidP="008E7AA5">
      <w:pPr>
        <w:jc w:val="center"/>
        <w:rPr>
          <w:rFonts w:ascii="Arial" w:hAnsi="Arial" w:cs="Arial"/>
          <w:b/>
          <w:sz w:val="24"/>
          <w:szCs w:val="24"/>
        </w:rPr>
      </w:pPr>
    </w:p>
    <w:p w:rsidR="008E7AA5" w:rsidRDefault="008E7AA5" w:rsidP="008E7AA5">
      <w:pPr>
        <w:spacing w:after="0"/>
        <w:jc w:val="center"/>
        <w:rPr>
          <w:sz w:val="24"/>
          <w:szCs w:val="24"/>
        </w:rPr>
      </w:pPr>
    </w:p>
    <w:p w:rsidR="000F4137" w:rsidRDefault="000F4137" w:rsidP="008E7AA5">
      <w:pPr>
        <w:spacing w:after="0"/>
        <w:jc w:val="both"/>
      </w:pPr>
    </w:p>
    <w:p w:rsidR="000F4137" w:rsidRPr="000F4137" w:rsidRDefault="000F4137" w:rsidP="008E7AA5">
      <w:pPr>
        <w:jc w:val="both"/>
        <w:rPr>
          <w:rFonts w:ascii="Arial" w:hAnsi="Arial" w:cs="Arial"/>
          <w:sz w:val="24"/>
          <w:szCs w:val="24"/>
        </w:rPr>
      </w:pPr>
    </w:p>
    <w:p w:rsidR="000F4137" w:rsidRPr="000F4137" w:rsidRDefault="000F4137" w:rsidP="008E7AA5">
      <w:pPr>
        <w:jc w:val="both"/>
        <w:rPr>
          <w:rFonts w:ascii="Arial" w:hAnsi="Arial" w:cs="Arial"/>
          <w:sz w:val="24"/>
          <w:szCs w:val="24"/>
        </w:rPr>
      </w:pPr>
    </w:p>
    <w:p w:rsidR="000F4137" w:rsidRPr="000F4137" w:rsidRDefault="000F4137" w:rsidP="008E7AA5">
      <w:pPr>
        <w:jc w:val="both"/>
        <w:rPr>
          <w:rFonts w:ascii="Arial" w:hAnsi="Arial" w:cs="Arial"/>
          <w:sz w:val="24"/>
          <w:szCs w:val="24"/>
        </w:rPr>
      </w:pPr>
    </w:p>
    <w:p w:rsidR="000F4137" w:rsidRPr="000F4137" w:rsidRDefault="00A73D31" w:rsidP="00B71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4137" w:rsidRPr="000F4137" w:rsidRDefault="000F4137" w:rsidP="00B71612">
      <w:pPr>
        <w:jc w:val="both"/>
        <w:rPr>
          <w:sz w:val="24"/>
          <w:szCs w:val="24"/>
        </w:rPr>
      </w:pPr>
      <w:r w:rsidRPr="000F4137">
        <w:rPr>
          <w:rFonts w:ascii="Arial" w:hAnsi="Arial" w:cs="Arial"/>
          <w:sz w:val="24"/>
          <w:szCs w:val="24"/>
        </w:rPr>
        <w:tab/>
      </w:r>
    </w:p>
    <w:p w:rsidR="000F4137" w:rsidRPr="000F4137" w:rsidRDefault="000F4137" w:rsidP="008E7AA5">
      <w:pPr>
        <w:jc w:val="both"/>
        <w:rPr>
          <w:rFonts w:ascii="Arial" w:hAnsi="Arial" w:cs="Arial"/>
          <w:b/>
          <w:sz w:val="24"/>
          <w:szCs w:val="24"/>
        </w:rPr>
      </w:pPr>
    </w:p>
    <w:sectPr w:rsidR="000F4137" w:rsidRPr="000F4137" w:rsidSect="007257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693" w:right="1134" w:bottom="851" w:left="226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27" w:rsidRDefault="00987927" w:rsidP="00A8302C">
      <w:pPr>
        <w:spacing w:line="240" w:lineRule="auto"/>
      </w:pPr>
      <w:r>
        <w:separator/>
      </w:r>
    </w:p>
  </w:endnote>
  <w:endnote w:type="continuationSeparator" w:id="0">
    <w:p w:rsidR="00987927" w:rsidRDefault="00987927" w:rsidP="00A83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53" w:rsidRDefault="009430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53" w:rsidRDefault="009430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53" w:rsidRDefault="009430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27" w:rsidRDefault="00987927" w:rsidP="00A8302C">
      <w:pPr>
        <w:spacing w:line="240" w:lineRule="auto"/>
      </w:pPr>
      <w:r>
        <w:separator/>
      </w:r>
    </w:p>
  </w:footnote>
  <w:footnote w:type="continuationSeparator" w:id="0">
    <w:p w:rsidR="00987927" w:rsidRDefault="00987927" w:rsidP="00A83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53" w:rsidRDefault="009430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93" w:rsidRPr="006215F1" w:rsidRDefault="00531393" w:rsidP="00A8302C">
    <w:pPr>
      <w:jc w:val="center"/>
      <w:rPr>
        <w:rFonts w:cs="Arial"/>
      </w:rPr>
    </w:pPr>
  </w:p>
  <w:p w:rsidR="00531393" w:rsidRPr="006215F1" w:rsidRDefault="00531393" w:rsidP="00A8302C">
    <w:pPr>
      <w:pStyle w:val="Contedodatabela"/>
      <w:ind w:firstLine="0"/>
      <w:jc w:val="center"/>
      <w:rPr>
        <w:rFonts w:ascii="Arial" w:hAnsi="Arial" w:cs="Arial"/>
        <w:b/>
        <w:bCs/>
        <w:sz w:val="20"/>
        <w:szCs w:val="20"/>
      </w:rPr>
    </w:pPr>
  </w:p>
  <w:tbl>
    <w:tblPr>
      <w:tblW w:w="11058" w:type="dxa"/>
      <w:tblInd w:w="-1548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078"/>
      <w:gridCol w:w="8980"/>
    </w:tblGrid>
    <w:tr w:rsidR="00531393" w:rsidRPr="006215F1" w:rsidTr="00725749">
      <w:trPr>
        <w:trHeight w:hRule="exact" w:val="439"/>
      </w:trPr>
      <w:tc>
        <w:tcPr>
          <w:tcW w:w="2078" w:type="dxa"/>
          <w:vMerge w:val="restart"/>
          <w:shd w:val="clear" w:color="auto" w:fill="auto"/>
        </w:tcPr>
        <w:p w:rsidR="00531393" w:rsidRPr="006215F1" w:rsidRDefault="00943053" w:rsidP="00531393">
          <w:pPr>
            <w:pStyle w:val="Contedodatabela"/>
            <w:snapToGrid w:val="0"/>
            <w:ind w:firstLine="0"/>
            <w:jc w:val="center"/>
            <w:rPr>
              <w:rFonts w:ascii="Arial" w:hAnsi="Arial" w:cs="Arial"/>
              <w:sz w:val="28"/>
              <w:szCs w:val="28"/>
            </w:rPr>
          </w:pPr>
          <w:r w:rsidRPr="00146C01">
            <w:rPr>
              <w:noProof/>
              <w:lang w:eastAsia="pt-BR"/>
            </w:rPr>
            <w:drawing>
              <wp:inline distT="0" distB="0" distL="0" distR="0">
                <wp:extent cx="868270" cy="841137"/>
                <wp:effectExtent l="0" t="0" r="825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86" cy="842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0" w:type="dxa"/>
          <w:tcBorders>
            <w:bottom w:val="single" w:sz="1" w:space="0" w:color="000000"/>
          </w:tcBorders>
          <w:shd w:val="clear" w:color="auto" w:fill="auto"/>
        </w:tcPr>
        <w:p w:rsidR="002C702C" w:rsidRDefault="002C702C" w:rsidP="002C702C">
          <w:pPr>
            <w:pStyle w:val="FR1"/>
            <w:jc w:val="left"/>
            <w:rPr>
              <w:sz w:val="39"/>
              <w:szCs w:val="39"/>
              <w:u w:val="single"/>
            </w:rPr>
          </w:pPr>
          <w:r>
            <w:rPr>
              <w:sz w:val="39"/>
              <w:szCs w:val="39"/>
              <w:u w:val="single"/>
            </w:rPr>
            <w:t>Câmara Municipal de Fortaleza de Minas</w:t>
          </w:r>
        </w:p>
        <w:p w:rsidR="00531393" w:rsidRPr="001F2612" w:rsidRDefault="002C702C" w:rsidP="002C702C">
          <w:pPr>
            <w:pStyle w:val="Contedodatabela"/>
            <w:snapToGrid w:val="0"/>
            <w:ind w:firstLine="0"/>
            <w:jc w:val="center"/>
            <w:rPr>
              <w:rFonts w:ascii="Arial" w:hAnsi="Arial" w:cs="Arial"/>
              <w:sz w:val="28"/>
              <w:szCs w:val="28"/>
              <w:lang w:val="pt-PT"/>
            </w:rPr>
          </w:pPr>
          <w:r>
            <w:rPr>
              <w:sz w:val="22"/>
              <w:szCs w:val="22"/>
            </w:rPr>
            <w:tab/>
          </w:r>
        </w:p>
      </w:tc>
    </w:tr>
    <w:tr w:rsidR="00531393" w:rsidRPr="006215F1" w:rsidTr="00725749">
      <w:trPr>
        <w:trHeight w:val="994"/>
      </w:trPr>
      <w:tc>
        <w:tcPr>
          <w:tcW w:w="2078" w:type="dxa"/>
          <w:vMerge/>
          <w:shd w:val="clear" w:color="auto" w:fill="auto"/>
        </w:tcPr>
        <w:p w:rsidR="00531393" w:rsidRPr="006215F1" w:rsidRDefault="00531393" w:rsidP="00531393">
          <w:pPr>
            <w:snapToGrid w:val="0"/>
            <w:jc w:val="center"/>
            <w:rPr>
              <w:rFonts w:cs="Arial"/>
            </w:rPr>
          </w:pPr>
        </w:p>
      </w:tc>
      <w:tc>
        <w:tcPr>
          <w:tcW w:w="8980" w:type="dxa"/>
          <w:shd w:val="clear" w:color="auto" w:fill="auto"/>
        </w:tcPr>
        <w:p w:rsidR="00531393" w:rsidRPr="006215F1" w:rsidRDefault="00531393" w:rsidP="00531393">
          <w:pPr>
            <w:pStyle w:val="Contedodatabela"/>
            <w:snapToGrid w:val="0"/>
            <w:ind w:firstLine="0"/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:rsidR="00531393" w:rsidRDefault="005313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053" w:rsidRDefault="009430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7D7D"/>
    <w:multiLevelType w:val="hybridMultilevel"/>
    <w:tmpl w:val="F4BC8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0B"/>
    <w:rsid w:val="000004A2"/>
    <w:rsid w:val="00092C0E"/>
    <w:rsid w:val="000A0604"/>
    <w:rsid w:val="000A5CE0"/>
    <w:rsid w:val="000B7F04"/>
    <w:rsid w:val="000F3A59"/>
    <w:rsid w:val="000F4137"/>
    <w:rsid w:val="000F4222"/>
    <w:rsid w:val="001177F2"/>
    <w:rsid w:val="0014020C"/>
    <w:rsid w:val="0015530F"/>
    <w:rsid w:val="00180CCE"/>
    <w:rsid w:val="001907C0"/>
    <w:rsid w:val="001E2B31"/>
    <w:rsid w:val="001F14DC"/>
    <w:rsid w:val="001F2612"/>
    <w:rsid w:val="00233DB3"/>
    <w:rsid w:val="002506F6"/>
    <w:rsid w:val="002900F7"/>
    <w:rsid w:val="00294E9E"/>
    <w:rsid w:val="002A4F97"/>
    <w:rsid w:val="002B1C0B"/>
    <w:rsid w:val="002C702C"/>
    <w:rsid w:val="002D55C7"/>
    <w:rsid w:val="00316246"/>
    <w:rsid w:val="003B187A"/>
    <w:rsid w:val="003B191B"/>
    <w:rsid w:val="003B1EEB"/>
    <w:rsid w:val="003C6677"/>
    <w:rsid w:val="003D5D17"/>
    <w:rsid w:val="003E75A4"/>
    <w:rsid w:val="00440B82"/>
    <w:rsid w:val="004534DE"/>
    <w:rsid w:val="00474A21"/>
    <w:rsid w:val="004851CE"/>
    <w:rsid w:val="004C1116"/>
    <w:rsid w:val="004C4F94"/>
    <w:rsid w:val="004D66B8"/>
    <w:rsid w:val="00531393"/>
    <w:rsid w:val="005949C3"/>
    <w:rsid w:val="006175C3"/>
    <w:rsid w:val="00627E01"/>
    <w:rsid w:val="006B1271"/>
    <w:rsid w:val="006D47D8"/>
    <w:rsid w:val="006E2744"/>
    <w:rsid w:val="00725749"/>
    <w:rsid w:val="007971DA"/>
    <w:rsid w:val="007D473A"/>
    <w:rsid w:val="008813BA"/>
    <w:rsid w:val="008D04E0"/>
    <w:rsid w:val="008E7AA5"/>
    <w:rsid w:val="00943053"/>
    <w:rsid w:val="009777B4"/>
    <w:rsid w:val="00987927"/>
    <w:rsid w:val="009B24FB"/>
    <w:rsid w:val="009D4479"/>
    <w:rsid w:val="00A01C4D"/>
    <w:rsid w:val="00A120C8"/>
    <w:rsid w:val="00A52618"/>
    <w:rsid w:val="00A66688"/>
    <w:rsid w:val="00A73D31"/>
    <w:rsid w:val="00A75D68"/>
    <w:rsid w:val="00A8302C"/>
    <w:rsid w:val="00AA0C01"/>
    <w:rsid w:val="00AB6C85"/>
    <w:rsid w:val="00AF0EB2"/>
    <w:rsid w:val="00B10B2F"/>
    <w:rsid w:val="00B71612"/>
    <w:rsid w:val="00B94C12"/>
    <w:rsid w:val="00BE1706"/>
    <w:rsid w:val="00C9780A"/>
    <w:rsid w:val="00D03E82"/>
    <w:rsid w:val="00D50F00"/>
    <w:rsid w:val="00DC3C24"/>
    <w:rsid w:val="00DF7ED9"/>
    <w:rsid w:val="00E14037"/>
    <w:rsid w:val="00E975F3"/>
    <w:rsid w:val="00F22DAF"/>
    <w:rsid w:val="00F356E7"/>
    <w:rsid w:val="00F40A52"/>
    <w:rsid w:val="00FA3CD4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4B1F8-5FA1-4230-8392-254D71B5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kern w:val="24"/>
        <w:sz w:val="24"/>
        <w:szCs w:val="24"/>
        <w:lang w:val="pt-BR" w:eastAsia="en-US" w:bidi="ar-SA"/>
      </w:rPr>
    </w:rPrDefault>
    <w:pPrDefault>
      <w:pPr>
        <w:spacing w:line="360" w:lineRule="auto"/>
        <w:ind w:left="170" w:right="113" w:firstLine="198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E0"/>
    <w:pPr>
      <w:spacing w:after="200" w:line="276" w:lineRule="auto"/>
      <w:ind w:left="0" w:right="0"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02C"/>
    <w:pPr>
      <w:tabs>
        <w:tab w:val="center" w:pos="4252"/>
        <w:tab w:val="right" w:pos="8504"/>
      </w:tabs>
      <w:spacing w:after="0" w:line="240" w:lineRule="auto"/>
      <w:ind w:left="170" w:right="113" w:firstLine="1985"/>
      <w:jc w:val="both"/>
    </w:pPr>
    <w:rPr>
      <w:rFonts w:ascii="Arial" w:hAnsi="Arial" w:cs="Times New Roman"/>
      <w:kern w:val="24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8302C"/>
  </w:style>
  <w:style w:type="paragraph" w:styleId="Rodap">
    <w:name w:val="footer"/>
    <w:basedOn w:val="Normal"/>
    <w:link w:val="RodapChar"/>
    <w:uiPriority w:val="99"/>
    <w:unhideWhenUsed/>
    <w:rsid w:val="00A8302C"/>
    <w:pPr>
      <w:tabs>
        <w:tab w:val="center" w:pos="4252"/>
        <w:tab w:val="right" w:pos="8504"/>
      </w:tabs>
      <w:spacing w:after="0" w:line="240" w:lineRule="auto"/>
      <w:ind w:left="170" w:right="113" w:firstLine="1985"/>
      <w:jc w:val="both"/>
    </w:pPr>
    <w:rPr>
      <w:rFonts w:ascii="Arial" w:hAnsi="Arial" w:cs="Times New Roman"/>
      <w:kern w:val="24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8302C"/>
  </w:style>
  <w:style w:type="paragraph" w:customStyle="1" w:styleId="Contedodatabela">
    <w:name w:val="Conteúdo da tabela"/>
    <w:basedOn w:val="Normal"/>
    <w:rsid w:val="00A8302C"/>
    <w:pPr>
      <w:widowControl w:val="0"/>
      <w:suppressLineNumbers/>
      <w:suppressAutoHyphens/>
      <w:spacing w:after="0" w:line="240" w:lineRule="auto"/>
      <w:ind w:left="170" w:right="113" w:firstLine="1985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2C"/>
    <w:pPr>
      <w:spacing w:after="0" w:line="240" w:lineRule="auto"/>
      <w:ind w:left="170" w:right="113" w:firstLine="1985"/>
      <w:jc w:val="both"/>
    </w:pPr>
    <w:rPr>
      <w:rFonts w:ascii="Tahoma" w:hAnsi="Tahoma" w:cs="Tahoma"/>
      <w:kern w:val="24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55C7"/>
    <w:rPr>
      <w:b/>
      <w:bCs/>
    </w:rPr>
  </w:style>
  <w:style w:type="character" w:styleId="nfase">
    <w:name w:val="Emphasis"/>
    <w:basedOn w:val="Fontepargpadro"/>
    <w:uiPriority w:val="20"/>
    <w:qFormat/>
    <w:rsid w:val="002D55C7"/>
    <w:rPr>
      <w:i/>
      <w:iCs/>
    </w:rPr>
  </w:style>
  <w:style w:type="paragraph" w:styleId="PargrafodaLista">
    <w:name w:val="List Paragraph"/>
    <w:basedOn w:val="Normal"/>
    <w:uiPriority w:val="34"/>
    <w:qFormat/>
    <w:rsid w:val="003E75A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0F4137"/>
    <w:pPr>
      <w:shd w:val="clear" w:color="auto" w:fill="FFFFFF"/>
      <w:spacing w:after="60" w:line="240" w:lineRule="atLeast"/>
      <w:jc w:val="both"/>
    </w:pPr>
    <w:rPr>
      <w:rFonts w:ascii="Arial" w:eastAsia="Arial Unicode MS" w:hAnsi="Arial" w:cs="Times New Roman"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F4137"/>
    <w:rPr>
      <w:rFonts w:eastAsia="Arial Unicode MS"/>
      <w:kern w:val="0"/>
      <w:sz w:val="26"/>
      <w:szCs w:val="26"/>
      <w:shd w:val="clear" w:color="auto" w:fill="FFFFFF"/>
      <w:lang w:eastAsia="pt-BR"/>
    </w:rPr>
  </w:style>
  <w:style w:type="paragraph" w:customStyle="1" w:styleId="FR2">
    <w:name w:val="FR2"/>
    <w:rsid w:val="001F2612"/>
    <w:pPr>
      <w:widowControl w:val="0"/>
      <w:suppressAutoHyphens/>
      <w:autoSpaceDE w:val="0"/>
      <w:spacing w:before="160" w:line="276" w:lineRule="auto"/>
      <w:ind w:left="40" w:right="0" w:firstLine="0"/>
      <w:jc w:val="center"/>
    </w:pPr>
    <w:rPr>
      <w:rFonts w:ascii="Times New Roman" w:eastAsia="Times New Roman" w:hAnsi="Times New Roman"/>
      <w:kern w:val="0"/>
      <w:sz w:val="20"/>
      <w:szCs w:val="20"/>
      <w:lang w:val="pt-PT" w:eastAsia="ar-SA"/>
    </w:rPr>
  </w:style>
  <w:style w:type="paragraph" w:customStyle="1" w:styleId="FR1">
    <w:name w:val="FR1"/>
    <w:rsid w:val="001F2612"/>
    <w:pPr>
      <w:widowControl w:val="0"/>
      <w:suppressAutoHyphens/>
      <w:autoSpaceDE w:val="0"/>
      <w:spacing w:after="200" w:line="276" w:lineRule="auto"/>
      <w:ind w:left="0" w:right="0" w:firstLine="0"/>
    </w:pPr>
    <w:rPr>
      <w:rFonts w:eastAsia="Times New Roman" w:cs="Arial"/>
      <w:b/>
      <w:bCs/>
      <w:kern w:val="0"/>
      <w:sz w:val="48"/>
      <w:szCs w:val="48"/>
      <w:lang w:val="pt-PT" w:eastAsia="ar-SA"/>
    </w:rPr>
  </w:style>
  <w:style w:type="character" w:customStyle="1" w:styleId="WW-Absatz-Standardschriftart111">
    <w:name w:val="WW-Absatz-Standardschriftart111"/>
    <w:rsid w:val="002C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jur.com/legislacao/htm/lec_00001422013" TargetMode="External"/><Relationship Id="rId13" Type="http://schemas.openxmlformats.org/officeDocument/2006/relationships/hyperlink" Target="https://www.legjur.com/legislacao/htm/lec_0000142201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legjur.com/legislacao/htm/lec_00001422013" TargetMode="External"/><Relationship Id="rId12" Type="http://schemas.openxmlformats.org/officeDocument/2006/relationships/hyperlink" Target="https://www.legjur.com/legislacao/htm/lec_00001422013" TargetMode="External"/><Relationship Id="rId17" Type="http://schemas.openxmlformats.org/officeDocument/2006/relationships/hyperlink" Target="https://www.legjur.com/legislacao/htm/lec_0000142201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egjur.com/legislacao/htm/lec_0000142201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jur.com/legislacao/htm/lec_000014220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egjur.com/legislacao/htm/lec_00001422013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legjur.com/legislacao/htm/lec_00001422013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legjur.com/legislacao/htm/lec_00001422013" TargetMode="External"/><Relationship Id="rId14" Type="http://schemas.openxmlformats.org/officeDocument/2006/relationships/hyperlink" Target="https://www.legjur.com/legislacao/htm/lec_00001422013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pc</cp:lastModifiedBy>
  <cp:revision>10</cp:revision>
  <cp:lastPrinted>2016-10-27T12:56:00Z</cp:lastPrinted>
  <dcterms:created xsi:type="dcterms:W3CDTF">2016-11-16T15:41:00Z</dcterms:created>
  <dcterms:modified xsi:type="dcterms:W3CDTF">2016-11-21T18:03:00Z</dcterms:modified>
</cp:coreProperties>
</file>